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1B45" w14:textId="77777777" w:rsidR="00D0066C" w:rsidRPr="00D0066C" w:rsidRDefault="00D0066C" w:rsidP="00D006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ставок корабельного сбора за услуги, оказываемые ФГБУ «Администрация морских портов Сахалина, Курил и Камчатки»,             о внесении изменений в приказ ФСТ России от 20 декабря 2007 г. № 522-т/1     «Об утверждении ставок портовых сборов и правил их применения в морских портах Российской Федерации», приказ </w:t>
      </w:r>
      <w:r w:rsidRPr="00D00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ФАС России от 10 марта 2016 г.             № 223/16 «Об утверждении правил применения ставок портовых сборов </w:t>
      </w:r>
    </w:p>
    <w:p w14:paraId="6F0620F2" w14:textId="77777777" w:rsidR="00A50339" w:rsidRDefault="00D0066C" w:rsidP="00D006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морских портах Российской Федерации» </w:t>
      </w:r>
    </w:p>
    <w:p w14:paraId="592ADFEB" w14:textId="77777777" w:rsidR="00D0066C" w:rsidRPr="00D0066C" w:rsidRDefault="00D0066C" w:rsidP="00D006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D2BE3" w14:textId="77777777" w:rsidR="00FA5D97" w:rsidRDefault="00FA5D97" w:rsidP="00FA5D97">
      <w:pPr>
        <w:pStyle w:val="a4"/>
        <w:spacing w:before="0" w:beforeAutospacing="0" w:after="0" w:line="360" w:lineRule="auto"/>
        <w:ind w:firstLine="709"/>
        <w:jc w:val="both"/>
      </w:pPr>
      <w:r>
        <w:rPr>
          <w:sz w:val="28"/>
          <w:szCs w:val="28"/>
        </w:rPr>
        <w:t xml:space="preserve">В соответствии с абзацем 6 пункта 1 </w:t>
      </w:r>
      <w:r>
        <w:rPr>
          <w:color w:val="000000"/>
          <w:sz w:val="28"/>
          <w:szCs w:val="28"/>
        </w:rPr>
        <w:t xml:space="preserve">статьи 4 </w:t>
      </w:r>
      <w:r>
        <w:rPr>
          <w:sz w:val="28"/>
          <w:szCs w:val="28"/>
        </w:rPr>
        <w:t xml:space="preserve">Федерального закона от 17 августа 1995 г. № 147-ФЗ «О естественных монополиях» (Собрание </w:t>
      </w:r>
      <w:r>
        <w:rPr>
          <w:color w:val="000000"/>
          <w:sz w:val="28"/>
          <w:szCs w:val="28"/>
        </w:rPr>
        <w:t>законодательства Российской Федерации, 1995, № 34, ст. 3426; 2007, № 46, ст. 5557), частью 5 статьи 19 Федерального закона от 8 ноября 2007 г. № 261-ФЗ «О морских портах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2007, № 46, ст. 5557; 2016, № 27 ст. 4215), пунктом 5 Положения о государственном регулировании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путей, утвержденного постановлением Правительства Российской Федерации от 23 апреля 2008 г. № 293 (Собрание законодательства Российской Федерации, 2008, № 17, ст. 1887</w:t>
      </w:r>
      <w:r>
        <w:rPr>
          <w:sz w:val="28"/>
          <w:szCs w:val="28"/>
        </w:rPr>
        <w:t xml:space="preserve">), пунктом 3(1) постановления Правительства Российской Федерации от 30 июня 2004 г. № 331 «Об утверждении положения о Федеральной антимонопольной службе» (Собрание </w:t>
      </w:r>
      <w:r>
        <w:rPr>
          <w:color w:val="000000"/>
          <w:sz w:val="28"/>
          <w:szCs w:val="28"/>
        </w:rPr>
        <w:t xml:space="preserve">законодательства Российской Федерации, 2004, № 31, ст. 3259; 2015, № 49, ст. 6994), </w:t>
      </w: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основании подпункта 5.3.21.24 </w:t>
      </w:r>
      <w:r>
        <w:rPr>
          <w:sz w:val="28"/>
          <w:szCs w:val="28"/>
        </w:rPr>
        <w:t>Положения о Федеральной антимонопольной службе, утвержденного постановлением Правительства Российской Федерации от 30 июня 2004 г. № 331 (Собрание законодательства Российской Федерации, 2004, № 31, ст. 3259; 2015, № 37, ст. 5153),</w:t>
      </w:r>
    </w:p>
    <w:p w14:paraId="2BE9846C" w14:textId="77777777" w:rsidR="00FA5D97" w:rsidRDefault="00FA5D97" w:rsidP="00FA5D97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14:paraId="3889FEB9" w14:textId="77777777" w:rsidR="00033D02" w:rsidRDefault="00033D02" w:rsidP="00033D02">
      <w:pPr>
        <w:pStyle w:val="a4"/>
        <w:spacing w:before="0" w:beforeAutospacing="0" w:after="0" w:line="360" w:lineRule="auto"/>
        <w:ind w:firstLine="709"/>
        <w:jc w:val="both"/>
      </w:pPr>
      <w:r>
        <w:rPr>
          <w:sz w:val="28"/>
          <w:szCs w:val="28"/>
        </w:rPr>
        <w:t xml:space="preserve">1. Утвердить ставки корабельного сбора за услуги, оказываемые ФГБУ «Администрация морских портов </w:t>
      </w:r>
      <w:r w:rsidRPr="00033D02">
        <w:rPr>
          <w:bCs/>
          <w:color w:val="000000"/>
          <w:sz w:val="28"/>
          <w:szCs w:val="28"/>
        </w:rPr>
        <w:t>Сахалина, Курил и Камчатки</w:t>
      </w:r>
      <w:r>
        <w:rPr>
          <w:sz w:val="28"/>
          <w:szCs w:val="28"/>
        </w:rPr>
        <w:t xml:space="preserve">» в морских портах </w:t>
      </w:r>
      <w:r w:rsidR="00D928F2">
        <w:rPr>
          <w:sz w:val="28"/>
          <w:szCs w:val="28"/>
        </w:rPr>
        <w:t xml:space="preserve">Корсаков, Пригородное, Холмск, Шахтерск, Невельск, Петропавловск – Камчатский, </w:t>
      </w:r>
      <w:r>
        <w:rPr>
          <w:sz w:val="28"/>
          <w:szCs w:val="28"/>
        </w:rPr>
        <w:t>согласно приложению к настоящему приказу.</w:t>
      </w:r>
    </w:p>
    <w:p w14:paraId="20FDD0BB" w14:textId="77777777" w:rsidR="0025725A" w:rsidRDefault="00033D02" w:rsidP="0025725A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Установить, что ставки корабельного сбора в морских портах </w:t>
      </w:r>
      <w:r w:rsidR="0025725A">
        <w:rPr>
          <w:sz w:val="28"/>
          <w:szCs w:val="28"/>
        </w:rPr>
        <w:t>Корсаков</w:t>
      </w:r>
      <w:r>
        <w:rPr>
          <w:sz w:val="28"/>
          <w:szCs w:val="28"/>
        </w:rPr>
        <w:t xml:space="preserve">, </w:t>
      </w:r>
      <w:r w:rsidR="0025725A">
        <w:rPr>
          <w:sz w:val="28"/>
          <w:szCs w:val="28"/>
        </w:rPr>
        <w:t xml:space="preserve">Пригородное, </w:t>
      </w:r>
      <w:r w:rsidR="00355645">
        <w:rPr>
          <w:sz w:val="28"/>
          <w:szCs w:val="28"/>
        </w:rPr>
        <w:t xml:space="preserve">Холмск, Шахтерск, </w:t>
      </w:r>
      <w:r w:rsidR="0025725A">
        <w:rPr>
          <w:sz w:val="28"/>
          <w:szCs w:val="28"/>
        </w:rPr>
        <w:t>Невельск, Петропавловск – Камчатский,</w:t>
      </w:r>
      <w:r>
        <w:rPr>
          <w:sz w:val="28"/>
          <w:szCs w:val="28"/>
        </w:rPr>
        <w:t xml:space="preserve"> являются предельно максимальными.</w:t>
      </w:r>
    </w:p>
    <w:p w14:paraId="443D6163" w14:textId="77777777" w:rsidR="0025725A" w:rsidRPr="0025725A" w:rsidRDefault="0025725A" w:rsidP="0025725A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Внести в приказ ФСТ России от 20 декабря 2007 г. № 522-т/1 </w:t>
      </w:r>
      <w:r w:rsidR="00F92E5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«Об утверждении ставок портовых сборов и правил их применения в морских портах Российской Федерации» (зарегистрирован Минюстом России 26 декабря 2007 г., регистрационный № 10828) с изменениями, внесенными приказами ФСТ России от 17 апреля 2009 г. № 73-т/1 (зарегистрирован Минюстом России 4 мая 2009 г., регистрационный № 13872), от 14 октября 2009 г. № 249-т/20 (зарегистрирован Минюстом России 16 декабря 2009 г., регистрационный № 15616), от 24 декабря 2009 г. № 516-т/19 (зарегистрирован Минюстом России 1 февраля 2010 г., регистрационный № 16177), от 22 июня 2010 г. № 127-т/1 (зарегистрирован Минюстом России 14 июля 2010 г., регистрационный № 17813), от 22 марта 2011 г. № 51-т/1 (зарегистрирован Минюстом России 11 мая 2011 г., регистрационный </w:t>
      </w:r>
      <w:r w:rsidR="007F4D4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20711), от 26 июля 2011 г. № 173-т/5 (зарегистрирован Минюстом России </w:t>
      </w:r>
      <w:r w:rsidR="007F4D4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18 августа 2011 г., регистрационный № </w:t>
      </w:r>
      <w:r w:rsidRPr="0025725A">
        <w:rPr>
          <w:sz w:val="28"/>
          <w:szCs w:val="28"/>
        </w:rPr>
        <w:t>2</w:t>
      </w:r>
      <w:r>
        <w:rPr>
          <w:sz w:val="28"/>
          <w:szCs w:val="28"/>
        </w:rPr>
        <w:t xml:space="preserve">1661), от 13 сентября 2011 г. № 208-т/3 (зарегистрирован Минюстом России 7 октября 2011 г., регистрационный № 21991), от 4 мая 2012 г. № 80-т/3 (зарегистрирован Минюстом России 29 мая 2012 г., регистрационный № 24352), от 4 марта 2014 № 47-т/3 (зарегистрирован Минюстом России 4 апреля 2014 г., регистрационный № 31859), от 19 августа </w:t>
      </w:r>
      <w:r w:rsidRPr="0025725A">
        <w:rPr>
          <w:sz w:val="28"/>
          <w:szCs w:val="28"/>
        </w:rPr>
        <w:t>2014 г</w:t>
      </w:r>
      <w:r>
        <w:rPr>
          <w:sz w:val="28"/>
          <w:szCs w:val="28"/>
        </w:rPr>
        <w:t xml:space="preserve">. № 197-т/1 (зарегистрирован Минюстом России 10 сентября 2014 г., регистрационный № 34023), от 19 августа 2014 № 198-т/2 (зарегистрирован Минюстом России </w:t>
      </w:r>
      <w:r w:rsidR="007F4D4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29 сентября 2014 г., регистрационный № 34169), от 18 ноября 201</w:t>
      </w:r>
      <w:r w:rsidRPr="0025725A">
        <w:rPr>
          <w:sz w:val="28"/>
          <w:szCs w:val="28"/>
        </w:rPr>
        <w:t>4</w:t>
      </w:r>
      <w:r>
        <w:rPr>
          <w:sz w:val="28"/>
          <w:szCs w:val="28"/>
        </w:rPr>
        <w:t xml:space="preserve"> г. № 262-т/5 (зарегистрирован Минюстом России 22 декабря 2014 г., регистрационный № 35336), от 29 мая 2015 г. № 186-т/2 (зарегистрирован Минюстом России 30 июня 2015 г., регистрационный № 37840), приказами ФАС России от 10 марта 2016 г. № 223/16 (зарегистрирован Минюстом России 16 мая 2016 г., регистрационный № 42114), </w:t>
      </w:r>
      <w:r w:rsidR="007F4D4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от 2 июля 2018 г. № 925/18 (зарегистрирован Минюстом России 11 октября 2018 г., регистрационный № 52405), от 2 июля 2018 г. № 926/18 (зарегистрирован Минюстом России 10 октября 2018 г., регистрационный </w:t>
      </w:r>
      <w:r w:rsidRPr="00C94E70">
        <w:rPr>
          <w:sz w:val="28"/>
          <w:szCs w:val="28"/>
        </w:rPr>
        <w:t>№ 52394)</w:t>
      </w:r>
      <w:r w:rsidR="00136549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  <w:r>
        <w:rPr>
          <w:color w:val="000000"/>
          <w:sz w:val="28"/>
          <w:szCs w:val="28"/>
        </w:rPr>
        <w:t>:</w:t>
      </w:r>
    </w:p>
    <w:p w14:paraId="01CDE970" w14:textId="77777777" w:rsidR="0025725A" w:rsidRDefault="0025725A" w:rsidP="0025725A">
      <w:pPr>
        <w:pStyle w:val="a4"/>
        <w:spacing w:before="0" w:beforeAutospacing="0" w:after="0"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3.1. В пункте 2 исключить слова «</w:t>
      </w:r>
      <w:r w:rsidRPr="003113C1">
        <w:rPr>
          <w:sz w:val="28"/>
          <w:szCs w:val="28"/>
        </w:rPr>
        <w:t>ФГУ «Администрация морского порта Петропавловск-Камчатский»</w:t>
      </w:r>
      <w:r>
        <w:rPr>
          <w:color w:val="000000"/>
          <w:sz w:val="28"/>
          <w:szCs w:val="28"/>
        </w:rPr>
        <w:t xml:space="preserve"> и «</w:t>
      </w:r>
      <w:r w:rsidRPr="003113C1">
        <w:rPr>
          <w:sz w:val="28"/>
          <w:szCs w:val="28"/>
        </w:rPr>
        <w:t>ФГУ «Администрация морских портов Сахалина»</w:t>
      </w:r>
      <w:r>
        <w:rPr>
          <w:color w:val="000000"/>
          <w:sz w:val="28"/>
          <w:szCs w:val="28"/>
        </w:rPr>
        <w:t>.</w:t>
      </w:r>
    </w:p>
    <w:p w14:paraId="53811254" w14:textId="77777777" w:rsidR="0025725A" w:rsidRDefault="0025725A" w:rsidP="004622DB">
      <w:pPr>
        <w:pStyle w:val="a4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Пункты </w:t>
      </w:r>
      <w:r w:rsidR="00D928F2">
        <w:rPr>
          <w:color w:val="000000"/>
          <w:sz w:val="28"/>
          <w:szCs w:val="28"/>
        </w:rPr>
        <w:t xml:space="preserve">26, </w:t>
      </w:r>
      <w:r>
        <w:rPr>
          <w:color w:val="000000"/>
          <w:sz w:val="28"/>
          <w:szCs w:val="28"/>
        </w:rPr>
        <w:t>34,</w:t>
      </w:r>
      <w:r w:rsidR="00D928F2">
        <w:rPr>
          <w:color w:val="000000"/>
          <w:sz w:val="28"/>
          <w:szCs w:val="28"/>
        </w:rPr>
        <w:t xml:space="preserve"> 38, 42, 43,</w:t>
      </w:r>
      <w:r>
        <w:rPr>
          <w:color w:val="000000"/>
          <w:sz w:val="28"/>
          <w:szCs w:val="28"/>
        </w:rPr>
        <w:t xml:space="preserve"> 45, 48</w:t>
      </w:r>
      <w:r w:rsidRPr="0025725A">
        <w:rPr>
          <w:color w:val="000000"/>
          <w:sz w:val="28"/>
          <w:szCs w:val="28"/>
        </w:rPr>
        <w:t xml:space="preserve">, </w:t>
      </w:r>
      <w:r w:rsidR="00F000A5">
        <w:rPr>
          <w:color w:val="000000"/>
          <w:sz w:val="28"/>
          <w:szCs w:val="28"/>
        </w:rPr>
        <w:t>49</w:t>
      </w:r>
      <w:r w:rsidRPr="0025725A">
        <w:rPr>
          <w:color w:val="000000"/>
          <w:sz w:val="28"/>
          <w:szCs w:val="28"/>
        </w:rPr>
        <w:t xml:space="preserve"> приложения 1 признать утратившими силу.</w:t>
      </w:r>
    </w:p>
    <w:p w14:paraId="19A8F38B" w14:textId="77777777" w:rsidR="00D928F2" w:rsidRPr="004622DB" w:rsidRDefault="00D928F2" w:rsidP="004622DB">
      <w:pPr>
        <w:pStyle w:val="a4"/>
        <w:spacing w:before="0" w:beforeAutospacing="0" w:after="0"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4. </w:t>
      </w:r>
      <w:r w:rsidR="004622DB" w:rsidRPr="004622DB">
        <w:rPr>
          <w:sz w:val="28"/>
          <w:szCs w:val="28"/>
        </w:rPr>
        <w:t>В абзаце третьем пункта 1.17 приложения к приказу ФАС России от 10 марта 2016 № 223/16 «Об утверждении правил применения ставок портовых сборов в морских портах Российской Федерации» (зарегистрирован Минюстом России 16 мая 2016 г., регистрационный № 42114) с изменениями, внесенными приказом ФАС России от 27 июня 2018 г. № 872/18 (зарегистрирован Минюстом России 16 июля 2018 г., регистрационный № 51613) слово «Поронайск» заменить словами «участка № 2 Поронайск морского порта Корсаков».</w:t>
      </w:r>
    </w:p>
    <w:p w14:paraId="0193C982" w14:textId="77777777" w:rsidR="0025725A" w:rsidRPr="00D928F2" w:rsidRDefault="00D928F2" w:rsidP="002572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5725A" w:rsidRPr="00D928F2">
        <w:rPr>
          <w:rFonts w:ascii="Times New Roman" w:hAnsi="Times New Roman" w:cs="Times New Roman"/>
          <w:color w:val="000000"/>
          <w:sz w:val="28"/>
          <w:szCs w:val="28"/>
        </w:rPr>
        <w:t xml:space="preserve">. Признать утратившим силу приказ </w:t>
      </w:r>
      <w:r w:rsidR="0025725A" w:rsidRPr="00D92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ФСТ России от 19 августа 2014 г. № 198 «Об утверждении ставок корабельного сбора за услуги по обеспечению безопасности мореплавания и порядка в порту, оказываемые ФГУ «АМП Петропавловск-Камчатский» в морском порту Петропавловск-Камчатский» (</w:t>
      </w:r>
      <w:r w:rsidRPr="00D928F2">
        <w:rPr>
          <w:rFonts w:ascii="Times New Roman" w:hAnsi="Times New Roman" w:cs="Times New Roman"/>
          <w:sz w:val="28"/>
          <w:szCs w:val="28"/>
        </w:rPr>
        <w:t>зарегистрирован Минюстом России 29 сентября 2014 г., регистрационный № 34169)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A62192" w14:textId="77777777" w:rsidR="0025725A" w:rsidRDefault="00D928F2" w:rsidP="0025725A">
      <w:pPr>
        <w:pStyle w:val="a4"/>
        <w:spacing w:before="0" w:beforeAutospacing="0" w:after="0" w:line="360" w:lineRule="auto"/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6</w:t>
      </w:r>
      <w:hyperlink r:id="rId6" w:history="1">
        <w:r w:rsidR="0025725A" w:rsidRPr="004622DB">
          <w:rPr>
            <w:rStyle w:val="a7"/>
            <w:sz w:val="28"/>
            <w:szCs w:val="28"/>
            <w:u w:val="none"/>
            <w:shd w:val="clear" w:color="auto" w:fill="FFFFFF"/>
          </w:rPr>
          <w:t>.</w:t>
        </w:r>
      </w:hyperlink>
      <w:r w:rsidR="0025725A" w:rsidRPr="0025725A">
        <w:rPr>
          <w:color w:val="000000"/>
          <w:sz w:val="28"/>
          <w:szCs w:val="28"/>
          <w:shd w:val="clear" w:color="auto" w:fill="FFFFFF"/>
        </w:rPr>
        <w:t xml:space="preserve"> Контроль исполнения настоящего приказа возложить на заместителя руководителя ФАС России П.В. Иванова.</w:t>
      </w:r>
    </w:p>
    <w:p w14:paraId="0962B15D" w14:textId="77777777" w:rsidR="0025725A" w:rsidRDefault="0025725A" w:rsidP="0025725A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14:paraId="2A3AFB2A" w14:textId="77777777" w:rsidR="00167B25" w:rsidRDefault="00167B25" w:rsidP="00C94E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24932" w14:textId="77777777" w:rsidR="00167B25" w:rsidRPr="003113C1" w:rsidRDefault="00167B25" w:rsidP="00167B2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                                                                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Шаскольский</w:t>
      </w:r>
      <w:proofErr w:type="spellEnd"/>
    </w:p>
    <w:p w14:paraId="3F7ED792" w14:textId="77777777" w:rsidR="003113C1" w:rsidRPr="003113C1" w:rsidRDefault="003113C1" w:rsidP="003113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0DA6A" w14:textId="77777777" w:rsidR="00F86E48" w:rsidRDefault="00F86E48" w:rsidP="003113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67D28D" w14:textId="77777777" w:rsidR="00224C3B" w:rsidRPr="00F86E48" w:rsidRDefault="00224C3B" w:rsidP="00224C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052DFC" w14:textId="77777777" w:rsidR="00953DCE" w:rsidRDefault="00953D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1FEB2" w14:textId="77777777" w:rsidR="003F391C" w:rsidRDefault="003F39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54BB50" w14:textId="77777777" w:rsidR="003F391C" w:rsidRDefault="003F39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29037" w14:textId="77777777" w:rsidR="003F391C" w:rsidRDefault="003F39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36D40" w14:textId="77777777" w:rsidR="003F391C" w:rsidRDefault="003F39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31B8D" w14:textId="77777777" w:rsidR="00C94E70" w:rsidRDefault="00C94E70">
      <w:pPr>
        <w:rPr>
          <w:rFonts w:ascii="Times New Roman" w:hAnsi="Times New Roman" w:cs="Times New Roman"/>
          <w:sz w:val="28"/>
          <w:szCs w:val="28"/>
        </w:rPr>
      </w:pPr>
    </w:p>
    <w:p w14:paraId="3244A7E5" w14:textId="77777777" w:rsidR="00876789" w:rsidRDefault="00876789" w:rsidP="00876789">
      <w:pPr>
        <w:pStyle w:val="a4"/>
        <w:spacing w:before="0" w:beforeAutospacing="0" w:after="0"/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Приложение</w:t>
      </w:r>
    </w:p>
    <w:p w14:paraId="0EE9D476" w14:textId="77777777" w:rsidR="00876789" w:rsidRDefault="00876789" w:rsidP="00876789">
      <w:pPr>
        <w:pStyle w:val="a4"/>
        <w:spacing w:before="0" w:beforeAutospacing="0" w:after="0"/>
        <w:jc w:val="right"/>
      </w:pPr>
      <w:r>
        <w:rPr>
          <w:sz w:val="28"/>
          <w:szCs w:val="28"/>
        </w:rPr>
        <w:t>к приказу ФАС России</w:t>
      </w:r>
    </w:p>
    <w:p w14:paraId="3B88654B" w14:textId="77777777" w:rsidR="00876789" w:rsidRDefault="00876789" w:rsidP="00876789">
      <w:pPr>
        <w:pStyle w:val="a4"/>
        <w:spacing w:before="0" w:beforeAutospacing="0" w:after="0"/>
        <w:jc w:val="right"/>
      </w:pPr>
      <w:r>
        <w:rPr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_</w:t>
      </w:r>
      <w:r>
        <w:rPr>
          <w:sz w:val="28"/>
          <w:szCs w:val="28"/>
        </w:rPr>
        <w:t>______ № ______</w:t>
      </w:r>
    </w:p>
    <w:p w14:paraId="7AA2D173" w14:textId="77777777" w:rsidR="00876789" w:rsidRDefault="00876789" w:rsidP="00876789">
      <w:pPr>
        <w:pStyle w:val="a4"/>
        <w:spacing w:after="0"/>
        <w:jc w:val="center"/>
      </w:pPr>
    </w:p>
    <w:p w14:paraId="534A157F" w14:textId="77777777" w:rsidR="00876789" w:rsidRDefault="00876789" w:rsidP="00827BEF">
      <w:pPr>
        <w:pStyle w:val="a4"/>
        <w:spacing w:before="0" w:beforeAutospacing="0" w:after="0"/>
        <w:jc w:val="center"/>
      </w:pPr>
      <w:r>
        <w:rPr>
          <w:b/>
          <w:bCs/>
          <w:sz w:val="28"/>
          <w:szCs w:val="28"/>
        </w:rPr>
        <w:t xml:space="preserve">Ставки корабельного сбора за услуги, оказываемые </w:t>
      </w:r>
      <w:r w:rsidR="00827BEF">
        <w:rPr>
          <w:b/>
          <w:bCs/>
          <w:color w:val="000000"/>
          <w:sz w:val="28"/>
          <w:szCs w:val="28"/>
        </w:rPr>
        <w:t>ФГБУ «Администрация морских портов Сахалина, Курил и Камчатки»</w:t>
      </w:r>
      <w:r>
        <w:rPr>
          <w:b/>
          <w:bCs/>
          <w:sz w:val="28"/>
          <w:szCs w:val="28"/>
        </w:rPr>
        <w:t xml:space="preserve"> в морских портах </w:t>
      </w:r>
    </w:p>
    <w:p w14:paraId="5C27988E" w14:textId="77777777" w:rsidR="003F391C" w:rsidRDefault="00827BEF" w:rsidP="00827BEF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827BEF">
        <w:rPr>
          <w:b/>
          <w:sz w:val="28"/>
          <w:szCs w:val="28"/>
        </w:rPr>
        <w:t xml:space="preserve">Корсаков, Пригородное, Холмск, Шахтерск, </w:t>
      </w:r>
    </w:p>
    <w:p w14:paraId="76145D3E" w14:textId="77777777" w:rsidR="00876789" w:rsidRDefault="00827BEF" w:rsidP="00827BEF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827BEF">
        <w:rPr>
          <w:b/>
          <w:sz w:val="28"/>
          <w:szCs w:val="28"/>
        </w:rPr>
        <w:t>Невельск, Петропавловск – Камчатский</w:t>
      </w:r>
    </w:p>
    <w:p w14:paraId="064A15AD" w14:textId="77777777" w:rsidR="00827BEF" w:rsidRDefault="00827BEF" w:rsidP="00827BEF">
      <w:pPr>
        <w:pStyle w:val="a4"/>
        <w:spacing w:before="0" w:beforeAutospacing="0" w:after="0"/>
        <w:jc w:val="center"/>
      </w:pPr>
    </w:p>
    <w:p w14:paraId="632E54F4" w14:textId="77777777" w:rsidR="00827BEF" w:rsidRPr="00A476D7" w:rsidRDefault="00827BEF" w:rsidP="00827BEF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Порт Корсаков</w:t>
      </w:r>
    </w:p>
    <w:p w14:paraId="037DFCF2" w14:textId="77777777" w:rsidR="00827BEF" w:rsidRDefault="00827BEF" w:rsidP="00827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2"/>
        <w:gridCol w:w="2975"/>
        <w:gridCol w:w="2739"/>
        <w:gridCol w:w="1613"/>
      </w:tblGrid>
      <w:tr w:rsidR="00827BEF" w14:paraId="04A06F5A" w14:textId="77777777" w:rsidTr="00B51216">
        <w:trPr>
          <w:trHeight w:val="307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7D66" w14:textId="77777777" w:rsidR="00827BEF" w:rsidRDefault="00827BEF" w:rsidP="00B512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1.1 - Ставки загранплавания</w:t>
            </w:r>
          </w:p>
        </w:tc>
      </w:tr>
      <w:tr w:rsidR="00827BEF" w14:paraId="7BC681D1" w14:textId="77777777" w:rsidTr="00B51216">
        <w:trPr>
          <w:trHeight w:val="395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7324" w14:textId="77777777" w:rsidR="00827BEF" w:rsidRDefault="00827BEF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сбора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DC55" w14:textId="77777777" w:rsidR="00827BEF" w:rsidRPr="00827BEF" w:rsidRDefault="00827BEF" w:rsidP="00827BEF">
            <w:pPr>
              <w:pStyle w:val="a4"/>
              <w:spacing w:after="0"/>
              <w:jc w:val="center"/>
            </w:pPr>
            <w:r>
              <w:rPr>
                <w:sz w:val="28"/>
                <w:szCs w:val="28"/>
              </w:rPr>
              <w:t xml:space="preserve">Ставка, руб./1 GT 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</w:tr>
      <w:tr w:rsidR="00827BEF" w14:paraId="6EFF96E0" w14:textId="77777777" w:rsidTr="00B51216">
        <w:trPr>
          <w:trHeight w:val="1683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2012" w14:textId="77777777" w:rsidR="00827BEF" w:rsidRDefault="00827BEF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0CF" w14:textId="77777777" w:rsidR="00827BEF" w:rsidRDefault="00827BEF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суда, кроме накатных, наплавных, контейнеровозов и наливных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8681" w14:textId="77777777" w:rsidR="00827BEF" w:rsidRDefault="00827BEF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накатные, наплавные суда и контейнеровозы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CA46" w14:textId="77777777" w:rsidR="00827BEF" w:rsidRDefault="00827BEF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наливные суда</w:t>
            </w:r>
          </w:p>
        </w:tc>
      </w:tr>
      <w:tr w:rsidR="00827BEF" w14:paraId="12018008" w14:textId="77777777" w:rsidTr="00B51216">
        <w:trPr>
          <w:trHeight w:val="614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919" w14:textId="77777777" w:rsidR="00827BEF" w:rsidRDefault="00827BEF" w:rsidP="00B5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Корабельный сбор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1950" w14:textId="77777777" w:rsidR="00827BEF" w:rsidRDefault="00827BEF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D4BF" w14:textId="77777777" w:rsidR="00827BEF" w:rsidRDefault="00827BEF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968C" w14:textId="77777777" w:rsidR="00827BEF" w:rsidRDefault="00827BEF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</w:tr>
    </w:tbl>
    <w:p w14:paraId="5E998075" w14:textId="77777777" w:rsidR="00827BEF" w:rsidRDefault="00827BEF" w:rsidP="00827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1"/>
        <w:gridCol w:w="2974"/>
        <w:gridCol w:w="2738"/>
        <w:gridCol w:w="1616"/>
      </w:tblGrid>
      <w:tr w:rsidR="00827BEF" w14:paraId="11B23BC6" w14:textId="77777777" w:rsidTr="00B51216">
        <w:trPr>
          <w:trHeight w:val="292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E245" w14:textId="77777777" w:rsidR="00827BEF" w:rsidRDefault="00827BEF" w:rsidP="00B512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1.2 - Ставки каботажного плавания</w:t>
            </w:r>
          </w:p>
        </w:tc>
      </w:tr>
      <w:tr w:rsidR="00827BEF" w14:paraId="7C2EA93F" w14:textId="77777777" w:rsidTr="00B51216">
        <w:trPr>
          <w:trHeight w:val="375"/>
        </w:trPr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D213" w14:textId="77777777" w:rsidR="00827BEF" w:rsidRDefault="00827BEF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сбора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171E" w14:textId="77777777" w:rsidR="00827BEF" w:rsidRPr="00827BEF" w:rsidRDefault="00827BEF" w:rsidP="00827BEF">
            <w:pPr>
              <w:pStyle w:val="a4"/>
              <w:spacing w:after="0"/>
              <w:jc w:val="center"/>
            </w:pPr>
            <w:r>
              <w:rPr>
                <w:sz w:val="28"/>
                <w:szCs w:val="28"/>
              </w:rPr>
              <w:t xml:space="preserve">Ставка, руб./1 GT 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</w:tr>
      <w:tr w:rsidR="00827BEF" w14:paraId="36B9308F" w14:textId="77777777" w:rsidTr="00B51216">
        <w:trPr>
          <w:trHeight w:val="1599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BD71" w14:textId="77777777" w:rsidR="00827BEF" w:rsidRDefault="00827BEF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4CBA" w14:textId="77777777" w:rsidR="00827BEF" w:rsidRDefault="00827BEF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суда, кроме накатных, наплавных, контейнеровозов и наливных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49A5" w14:textId="77777777" w:rsidR="00827BEF" w:rsidRDefault="00827BEF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накатные, наплавные суда и контейнеровозы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2320" w14:textId="77777777" w:rsidR="00827BEF" w:rsidRDefault="00827BEF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наливные суда</w:t>
            </w:r>
          </w:p>
        </w:tc>
      </w:tr>
      <w:tr w:rsidR="00827BEF" w14:paraId="6AF13609" w14:textId="77777777" w:rsidTr="00B51216">
        <w:trPr>
          <w:trHeight w:val="584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9EAF" w14:textId="77777777" w:rsidR="00827BEF" w:rsidRDefault="00827BEF" w:rsidP="00B5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Корабельный сбор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9D62" w14:textId="77777777" w:rsidR="00827BEF" w:rsidRDefault="00827BEF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6B2D" w14:textId="77777777" w:rsidR="00827BEF" w:rsidRDefault="00827BEF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8E7E" w14:textId="77777777" w:rsidR="00827BEF" w:rsidRDefault="00827BEF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2,61</w:t>
            </w:r>
          </w:p>
        </w:tc>
      </w:tr>
    </w:tbl>
    <w:p w14:paraId="42B2F54D" w14:textId="77777777" w:rsidR="00827BEF" w:rsidRDefault="00827BEF" w:rsidP="00827BEF">
      <w:pPr>
        <w:pStyle w:val="a4"/>
        <w:spacing w:before="0" w:beforeAutospacing="0" w:after="0"/>
        <w:ind w:firstLine="709"/>
        <w:rPr>
          <w:sz w:val="28"/>
          <w:szCs w:val="28"/>
        </w:rPr>
      </w:pPr>
      <w:r w:rsidRPr="00827BEF">
        <w:rPr>
          <w:sz w:val="28"/>
          <w:szCs w:val="28"/>
        </w:rPr>
        <w:t>* - GT - валовая вместимость судна (брутто-регистровый тоннаж).</w:t>
      </w:r>
    </w:p>
    <w:p w14:paraId="66795287" w14:textId="77777777" w:rsidR="00834D01" w:rsidRDefault="00834D01" w:rsidP="00827BEF">
      <w:pPr>
        <w:pStyle w:val="a4"/>
        <w:spacing w:before="0" w:beforeAutospacing="0" w:after="0"/>
        <w:ind w:firstLine="709"/>
        <w:rPr>
          <w:sz w:val="28"/>
          <w:szCs w:val="28"/>
        </w:rPr>
      </w:pPr>
    </w:p>
    <w:p w14:paraId="575FF0CA" w14:textId="77777777" w:rsidR="00C94E70" w:rsidRDefault="00C94E70" w:rsidP="00827BEF">
      <w:pPr>
        <w:pStyle w:val="a4"/>
        <w:spacing w:before="0" w:beforeAutospacing="0" w:after="0"/>
        <w:ind w:firstLine="709"/>
        <w:rPr>
          <w:sz w:val="28"/>
          <w:szCs w:val="28"/>
        </w:rPr>
      </w:pPr>
    </w:p>
    <w:p w14:paraId="16A556DE" w14:textId="77777777" w:rsidR="00C94E70" w:rsidRDefault="00C94E70" w:rsidP="00827BEF">
      <w:pPr>
        <w:pStyle w:val="a4"/>
        <w:spacing w:before="0" w:beforeAutospacing="0" w:after="0"/>
        <w:ind w:firstLine="709"/>
        <w:rPr>
          <w:sz w:val="28"/>
          <w:szCs w:val="28"/>
        </w:rPr>
      </w:pPr>
    </w:p>
    <w:p w14:paraId="60024230" w14:textId="77777777" w:rsidR="00C94E70" w:rsidRDefault="00C94E70" w:rsidP="00827BEF">
      <w:pPr>
        <w:pStyle w:val="a4"/>
        <w:spacing w:before="0" w:beforeAutospacing="0" w:after="0"/>
        <w:ind w:firstLine="709"/>
        <w:rPr>
          <w:sz w:val="28"/>
          <w:szCs w:val="28"/>
        </w:rPr>
      </w:pPr>
    </w:p>
    <w:p w14:paraId="51B2067A" w14:textId="77777777" w:rsidR="00C94E70" w:rsidRDefault="00C94E70" w:rsidP="00827BEF">
      <w:pPr>
        <w:pStyle w:val="a4"/>
        <w:spacing w:before="0" w:beforeAutospacing="0" w:after="0"/>
        <w:ind w:firstLine="709"/>
        <w:rPr>
          <w:sz w:val="28"/>
          <w:szCs w:val="28"/>
        </w:rPr>
      </w:pPr>
    </w:p>
    <w:p w14:paraId="35AF4466" w14:textId="77777777" w:rsidR="00C94E70" w:rsidRDefault="00C94E70" w:rsidP="00827BEF">
      <w:pPr>
        <w:pStyle w:val="a4"/>
        <w:spacing w:before="0" w:beforeAutospacing="0" w:after="0"/>
        <w:ind w:firstLine="709"/>
        <w:rPr>
          <w:sz w:val="28"/>
          <w:szCs w:val="28"/>
        </w:rPr>
      </w:pPr>
    </w:p>
    <w:p w14:paraId="1FDFBADF" w14:textId="77777777" w:rsidR="00C94E70" w:rsidRDefault="00C94E70" w:rsidP="00827BEF">
      <w:pPr>
        <w:pStyle w:val="a4"/>
        <w:spacing w:before="0" w:beforeAutospacing="0" w:after="0"/>
        <w:ind w:firstLine="709"/>
        <w:rPr>
          <w:sz w:val="28"/>
          <w:szCs w:val="28"/>
        </w:rPr>
      </w:pPr>
    </w:p>
    <w:p w14:paraId="6510D13B" w14:textId="77777777" w:rsidR="00834D01" w:rsidRPr="00A476D7" w:rsidRDefault="00834D01" w:rsidP="00834D01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Порт Пригородное</w:t>
      </w:r>
    </w:p>
    <w:p w14:paraId="5137A491" w14:textId="77777777" w:rsidR="00834D01" w:rsidRDefault="00834D01" w:rsidP="00834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2"/>
        <w:gridCol w:w="2975"/>
        <w:gridCol w:w="2739"/>
        <w:gridCol w:w="1613"/>
      </w:tblGrid>
      <w:tr w:rsidR="00834D01" w14:paraId="4DAE3EA6" w14:textId="77777777" w:rsidTr="00B51216">
        <w:trPr>
          <w:trHeight w:val="307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2A3D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2.1 - Ставки загранплавания</w:t>
            </w:r>
          </w:p>
        </w:tc>
      </w:tr>
      <w:tr w:rsidR="00834D01" w14:paraId="0136D7F4" w14:textId="77777777" w:rsidTr="00B51216">
        <w:trPr>
          <w:trHeight w:val="395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5400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сбора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5AD7" w14:textId="77777777" w:rsidR="00834D01" w:rsidRPr="00827BEF" w:rsidRDefault="00834D01" w:rsidP="00B51216">
            <w:pPr>
              <w:pStyle w:val="a4"/>
              <w:spacing w:after="0"/>
              <w:jc w:val="center"/>
            </w:pPr>
            <w:r>
              <w:rPr>
                <w:sz w:val="28"/>
                <w:szCs w:val="28"/>
              </w:rPr>
              <w:t xml:space="preserve">Ставка, руб./1 GT 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</w:tr>
      <w:tr w:rsidR="00834D01" w14:paraId="049308FC" w14:textId="77777777" w:rsidTr="00B51216">
        <w:trPr>
          <w:trHeight w:val="1683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6A35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406F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суда, кроме накатных, наплавных, контейнеровозов и наливных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A4BF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накатные, наплавные суда и контейнеровозы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158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наливные суда</w:t>
            </w:r>
          </w:p>
        </w:tc>
      </w:tr>
      <w:tr w:rsidR="00834D01" w14:paraId="75C0DAED" w14:textId="77777777" w:rsidTr="00B51216">
        <w:trPr>
          <w:trHeight w:val="614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6120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Корабельный сбор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B73C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2B85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8C64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</w:tr>
    </w:tbl>
    <w:p w14:paraId="029BA705" w14:textId="77777777" w:rsidR="00834D01" w:rsidRDefault="00834D01" w:rsidP="0083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1"/>
        <w:gridCol w:w="2974"/>
        <w:gridCol w:w="2738"/>
        <w:gridCol w:w="1616"/>
      </w:tblGrid>
      <w:tr w:rsidR="00834D01" w14:paraId="7C070681" w14:textId="77777777" w:rsidTr="00B51216">
        <w:trPr>
          <w:trHeight w:val="292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141B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2.2 - Ставки каботажного плавания</w:t>
            </w:r>
          </w:p>
        </w:tc>
      </w:tr>
      <w:tr w:rsidR="00834D01" w14:paraId="2A4EC92E" w14:textId="77777777" w:rsidTr="00B51216">
        <w:trPr>
          <w:trHeight w:val="375"/>
        </w:trPr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8AA2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сбора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7C9" w14:textId="77777777" w:rsidR="00834D01" w:rsidRPr="00827BEF" w:rsidRDefault="00834D01" w:rsidP="00B51216">
            <w:pPr>
              <w:pStyle w:val="a4"/>
              <w:spacing w:after="0"/>
              <w:jc w:val="center"/>
            </w:pPr>
            <w:r>
              <w:rPr>
                <w:sz w:val="28"/>
                <w:szCs w:val="28"/>
              </w:rPr>
              <w:t xml:space="preserve">Ставка, руб./1 GT 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</w:tr>
      <w:tr w:rsidR="00834D01" w14:paraId="70016608" w14:textId="77777777" w:rsidTr="00B51216">
        <w:trPr>
          <w:trHeight w:val="1599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76A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1ED9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суда, кроме накатных, наплавных, контейнеровозов и наливных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2D4B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накатные, наплавные суда и контейнеровозы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7482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наливные суда</w:t>
            </w:r>
          </w:p>
        </w:tc>
      </w:tr>
      <w:tr w:rsidR="00834D01" w14:paraId="6A725FC4" w14:textId="77777777" w:rsidTr="00B51216">
        <w:trPr>
          <w:trHeight w:val="584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33B3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Корабельный сбор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17FF" w14:textId="77777777" w:rsidR="00834D01" w:rsidRDefault="00834D01" w:rsidP="00834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4D6D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585A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2,32</w:t>
            </w:r>
          </w:p>
        </w:tc>
      </w:tr>
    </w:tbl>
    <w:p w14:paraId="40D0D1B2" w14:textId="77777777" w:rsidR="00834D01" w:rsidRDefault="00834D01" w:rsidP="00834D01">
      <w:pPr>
        <w:pStyle w:val="a4"/>
        <w:spacing w:before="0" w:beforeAutospacing="0" w:after="0"/>
        <w:ind w:firstLine="709"/>
        <w:rPr>
          <w:sz w:val="28"/>
          <w:szCs w:val="28"/>
        </w:rPr>
      </w:pPr>
      <w:r w:rsidRPr="00827BEF">
        <w:rPr>
          <w:sz w:val="28"/>
          <w:szCs w:val="28"/>
        </w:rPr>
        <w:t>* - GT - валовая вместимость судна (брутто-регистровый тоннаж).</w:t>
      </w:r>
    </w:p>
    <w:p w14:paraId="26097E4B" w14:textId="77777777" w:rsidR="00834D01" w:rsidRDefault="00834D01" w:rsidP="00834D01">
      <w:pPr>
        <w:pStyle w:val="a4"/>
        <w:spacing w:before="0" w:beforeAutospacing="0" w:after="0"/>
        <w:ind w:firstLine="709"/>
        <w:rPr>
          <w:sz w:val="28"/>
          <w:szCs w:val="28"/>
        </w:rPr>
      </w:pPr>
    </w:p>
    <w:p w14:paraId="553EDAE9" w14:textId="77777777" w:rsidR="00834D01" w:rsidRDefault="00834D01" w:rsidP="00834D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Порт </w:t>
      </w:r>
      <w:r w:rsidRPr="00757FA5">
        <w:rPr>
          <w:rFonts w:ascii="Times New Roman" w:hAnsi="Times New Roman" w:cs="Times New Roman"/>
          <w:b/>
          <w:bCs/>
          <w:sz w:val="28"/>
          <w:szCs w:val="28"/>
        </w:rPr>
        <w:t xml:space="preserve">Холмск </w:t>
      </w:r>
    </w:p>
    <w:p w14:paraId="67610A6A" w14:textId="77777777" w:rsidR="00834D01" w:rsidRDefault="00834D01" w:rsidP="00834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2"/>
        <w:gridCol w:w="2975"/>
        <w:gridCol w:w="2739"/>
        <w:gridCol w:w="1613"/>
      </w:tblGrid>
      <w:tr w:rsidR="00834D01" w14:paraId="7E9DA725" w14:textId="77777777" w:rsidTr="00B51216">
        <w:trPr>
          <w:trHeight w:val="301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6252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3.1 - Ставки загранплавания</w:t>
            </w:r>
          </w:p>
        </w:tc>
      </w:tr>
      <w:tr w:rsidR="00834D01" w14:paraId="05B27AA9" w14:textId="77777777" w:rsidTr="00B51216">
        <w:trPr>
          <w:trHeight w:val="387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41F6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сбора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363D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Ставка, руб./1 GT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</w:tr>
      <w:tr w:rsidR="00834D01" w14:paraId="75F6A6DD" w14:textId="77777777" w:rsidTr="00B51216">
        <w:trPr>
          <w:trHeight w:val="1649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62BA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33AD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суда, кроме накатных, наплавных, контейнеровозов и наливных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5B95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накатные, наплавные суда и контейнеровозы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62A8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наливные суда</w:t>
            </w:r>
          </w:p>
        </w:tc>
      </w:tr>
      <w:tr w:rsidR="00834D01" w14:paraId="4DF23060" w14:textId="77777777" w:rsidTr="00B51216">
        <w:trPr>
          <w:trHeight w:val="602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5257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Корабельный сбор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965D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67EB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7F10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11,06</w:t>
            </w:r>
          </w:p>
        </w:tc>
      </w:tr>
    </w:tbl>
    <w:p w14:paraId="5F36A91E" w14:textId="77777777" w:rsidR="00834D01" w:rsidRDefault="00834D01" w:rsidP="0083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1"/>
        <w:gridCol w:w="3006"/>
        <w:gridCol w:w="2767"/>
        <w:gridCol w:w="1630"/>
      </w:tblGrid>
      <w:tr w:rsidR="00834D01" w14:paraId="379A68CE" w14:textId="77777777" w:rsidTr="00B51216">
        <w:trPr>
          <w:trHeight w:val="303"/>
        </w:trPr>
        <w:tc>
          <w:tcPr>
            <w:tcW w:w="10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05C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3.2 - Ставки каботажного плавания</w:t>
            </w:r>
          </w:p>
        </w:tc>
      </w:tr>
      <w:tr w:rsidR="00834D01" w14:paraId="7205B2E9" w14:textId="77777777" w:rsidTr="00B51216">
        <w:trPr>
          <w:trHeight w:val="390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8971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сбора</w:t>
            </w:r>
          </w:p>
        </w:tc>
        <w:tc>
          <w:tcPr>
            <w:tcW w:w="7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8F64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Ставка, руб./1 GT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</w:tr>
      <w:tr w:rsidR="00834D01" w:rsidRPr="00757FA5" w14:paraId="575576CD" w14:textId="77777777" w:rsidTr="00834D01">
        <w:trPr>
          <w:trHeight w:val="1662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EB3" w14:textId="77777777" w:rsidR="00834D01" w:rsidRPr="00757FA5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530" w14:textId="77777777" w:rsidR="00834D01" w:rsidRPr="00757FA5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A5">
              <w:rPr>
                <w:rFonts w:ascii="Times New Roman" w:hAnsi="Times New Roman" w:cs="Times New Roman"/>
                <w:sz w:val="28"/>
                <w:szCs w:val="28"/>
              </w:rPr>
              <w:t>все суда, кроме накатных, наплавных, контейнеровозов и наливных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9518" w14:textId="77777777" w:rsidR="00834D01" w:rsidRPr="00757FA5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A5">
              <w:rPr>
                <w:rFonts w:ascii="Times New Roman" w:hAnsi="Times New Roman" w:cs="Times New Roman"/>
                <w:sz w:val="28"/>
                <w:szCs w:val="28"/>
              </w:rPr>
              <w:t>накатные, наплавные суда и контейнеровозы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651B" w14:textId="77777777" w:rsidR="00834D01" w:rsidRPr="00757FA5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A5">
              <w:rPr>
                <w:rFonts w:ascii="Times New Roman" w:hAnsi="Times New Roman" w:cs="Times New Roman"/>
                <w:sz w:val="28"/>
                <w:szCs w:val="28"/>
              </w:rPr>
              <w:t>наливные суда</w:t>
            </w:r>
          </w:p>
        </w:tc>
      </w:tr>
      <w:tr w:rsidR="00834D01" w:rsidRPr="00757FA5" w14:paraId="6B494172" w14:textId="77777777" w:rsidTr="00834D01">
        <w:trPr>
          <w:trHeight w:val="607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86F2" w14:textId="77777777" w:rsidR="00834D01" w:rsidRPr="00757FA5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7FA5">
              <w:rPr>
                <w:rFonts w:ascii="Times New Roman" w:hAnsi="Times New Roman" w:cs="Times New Roman"/>
                <w:sz w:val="28"/>
                <w:szCs w:val="28"/>
              </w:rPr>
              <w:t>Корабельный сбор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97AE" w14:textId="77777777" w:rsidR="00834D01" w:rsidRPr="00757FA5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A5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B6AA" w14:textId="77777777" w:rsidR="00834D01" w:rsidRPr="00757FA5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A5"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8A67" w14:textId="77777777" w:rsidR="00834D01" w:rsidRPr="00757FA5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FA5">
              <w:rPr>
                <w:rFonts w:ascii="Times New Roman" w:hAnsi="Times New Roman" w:cs="Times New Roman"/>
                <w:sz w:val="28"/>
                <w:szCs w:val="28"/>
              </w:rPr>
              <w:t>2,61</w:t>
            </w:r>
          </w:p>
        </w:tc>
      </w:tr>
    </w:tbl>
    <w:p w14:paraId="74609CCF" w14:textId="77777777" w:rsidR="00834D01" w:rsidRDefault="00834D01" w:rsidP="00834D01">
      <w:pPr>
        <w:pStyle w:val="a4"/>
        <w:spacing w:before="0" w:beforeAutospacing="0" w:after="0"/>
        <w:ind w:firstLine="709"/>
        <w:rPr>
          <w:sz w:val="28"/>
          <w:szCs w:val="28"/>
        </w:rPr>
      </w:pPr>
      <w:r w:rsidRPr="00827BEF">
        <w:rPr>
          <w:sz w:val="28"/>
          <w:szCs w:val="28"/>
        </w:rPr>
        <w:t>* - GT - валовая вместимость судна (брутто-регистровый тоннаж).</w:t>
      </w:r>
    </w:p>
    <w:p w14:paraId="396CAEB4" w14:textId="77777777" w:rsidR="00834D01" w:rsidRDefault="00834D01" w:rsidP="00834D01">
      <w:pPr>
        <w:pStyle w:val="a4"/>
        <w:spacing w:before="0" w:beforeAutospacing="0" w:after="0"/>
        <w:ind w:firstLine="709"/>
        <w:rPr>
          <w:sz w:val="28"/>
          <w:szCs w:val="28"/>
        </w:rPr>
      </w:pPr>
    </w:p>
    <w:p w14:paraId="197712D3" w14:textId="77777777" w:rsidR="00834D01" w:rsidRPr="00A476D7" w:rsidRDefault="00834D01" w:rsidP="00834D01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Порт Шахтерск</w:t>
      </w:r>
    </w:p>
    <w:p w14:paraId="0819DD8E" w14:textId="77777777" w:rsidR="00834D01" w:rsidRDefault="00834D01" w:rsidP="00834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2"/>
        <w:gridCol w:w="2975"/>
        <w:gridCol w:w="2739"/>
        <w:gridCol w:w="1613"/>
      </w:tblGrid>
      <w:tr w:rsidR="00834D01" w14:paraId="5A7F9BB5" w14:textId="77777777" w:rsidTr="00B51216">
        <w:trPr>
          <w:trHeight w:val="307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4D33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4.1 - Ставки загранплавания</w:t>
            </w:r>
          </w:p>
        </w:tc>
      </w:tr>
      <w:tr w:rsidR="00834D01" w14:paraId="39F9F2EE" w14:textId="77777777" w:rsidTr="00B51216">
        <w:trPr>
          <w:trHeight w:val="395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4418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сбора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48A6" w14:textId="77777777" w:rsidR="00834D01" w:rsidRPr="00827BEF" w:rsidRDefault="00834D01" w:rsidP="00B51216">
            <w:pPr>
              <w:pStyle w:val="a4"/>
              <w:spacing w:after="0"/>
              <w:jc w:val="center"/>
            </w:pPr>
            <w:r>
              <w:rPr>
                <w:sz w:val="28"/>
                <w:szCs w:val="28"/>
              </w:rPr>
              <w:t xml:space="preserve">Ставка, руб./1 GT 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</w:tr>
      <w:tr w:rsidR="00834D01" w14:paraId="7F66084C" w14:textId="77777777" w:rsidTr="00B51216">
        <w:trPr>
          <w:trHeight w:val="1683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5A25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46F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суда, кроме накатных, наплавных, контейнеровозов и наливных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BBBE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накатные, наплавные суда и контейнеровозы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4490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наливные суда</w:t>
            </w:r>
          </w:p>
        </w:tc>
      </w:tr>
      <w:tr w:rsidR="00834D01" w14:paraId="5EFC5C97" w14:textId="77777777" w:rsidTr="00B51216">
        <w:trPr>
          <w:trHeight w:val="614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5076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Корабельный сбор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744A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2848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0D20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9,84</w:t>
            </w:r>
          </w:p>
        </w:tc>
      </w:tr>
    </w:tbl>
    <w:p w14:paraId="1278F023" w14:textId="77777777" w:rsidR="00834D01" w:rsidRDefault="00834D01" w:rsidP="0083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1"/>
        <w:gridCol w:w="2974"/>
        <w:gridCol w:w="2738"/>
        <w:gridCol w:w="1616"/>
      </w:tblGrid>
      <w:tr w:rsidR="00834D01" w14:paraId="788936DA" w14:textId="77777777" w:rsidTr="00B51216">
        <w:trPr>
          <w:trHeight w:val="292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3C0A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4.2 - Ставки каботажного плавания</w:t>
            </w:r>
          </w:p>
        </w:tc>
      </w:tr>
      <w:tr w:rsidR="00834D01" w14:paraId="620AEDBF" w14:textId="77777777" w:rsidTr="00B51216">
        <w:trPr>
          <w:trHeight w:val="375"/>
        </w:trPr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46A0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сбора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44A8" w14:textId="77777777" w:rsidR="00834D01" w:rsidRPr="00827BEF" w:rsidRDefault="00834D01" w:rsidP="00B51216">
            <w:pPr>
              <w:pStyle w:val="a4"/>
              <w:spacing w:after="0"/>
              <w:jc w:val="center"/>
            </w:pPr>
            <w:r>
              <w:rPr>
                <w:sz w:val="28"/>
                <w:szCs w:val="28"/>
              </w:rPr>
              <w:t xml:space="preserve">Ставка, руб./1 GT 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</w:tr>
      <w:tr w:rsidR="00834D01" w14:paraId="3995EC0D" w14:textId="77777777" w:rsidTr="00B51216">
        <w:trPr>
          <w:trHeight w:val="1599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9705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8478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суда, кроме накатных, наплавных, контейнеровозов и наливных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A76B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накатные, наплавные суда и контейнеровозы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73B6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наливные суда</w:t>
            </w:r>
          </w:p>
        </w:tc>
      </w:tr>
      <w:tr w:rsidR="00834D01" w14:paraId="2D6E7776" w14:textId="77777777" w:rsidTr="00B51216">
        <w:trPr>
          <w:trHeight w:val="584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8DE2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Корабельный сбор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E4CE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742C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A4D0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2,32</w:t>
            </w:r>
          </w:p>
        </w:tc>
      </w:tr>
    </w:tbl>
    <w:p w14:paraId="01E9B0AE" w14:textId="77777777" w:rsidR="00834D01" w:rsidRDefault="00834D01" w:rsidP="00834D01">
      <w:pPr>
        <w:pStyle w:val="a4"/>
        <w:spacing w:before="0" w:beforeAutospacing="0" w:after="0"/>
        <w:ind w:firstLine="709"/>
        <w:rPr>
          <w:sz w:val="28"/>
          <w:szCs w:val="28"/>
        </w:rPr>
      </w:pPr>
      <w:r w:rsidRPr="00827BEF">
        <w:rPr>
          <w:sz w:val="28"/>
          <w:szCs w:val="28"/>
        </w:rPr>
        <w:t>* - GT - валовая вместимость судна (брутто-регистровый тоннаж).</w:t>
      </w:r>
    </w:p>
    <w:p w14:paraId="7D2BA945" w14:textId="77777777" w:rsidR="00834D01" w:rsidRDefault="00834D01" w:rsidP="00834D01">
      <w:pPr>
        <w:pStyle w:val="a4"/>
        <w:spacing w:before="0" w:beforeAutospacing="0" w:after="0"/>
        <w:ind w:firstLine="709"/>
        <w:rPr>
          <w:sz w:val="28"/>
          <w:szCs w:val="28"/>
        </w:rPr>
      </w:pPr>
    </w:p>
    <w:p w14:paraId="0F09C6C4" w14:textId="77777777" w:rsidR="00834D01" w:rsidRDefault="00834D01" w:rsidP="00834D01">
      <w:pPr>
        <w:pStyle w:val="a4"/>
        <w:spacing w:before="0" w:beforeAutospacing="0" w:after="0"/>
        <w:ind w:firstLine="709"/>
        <w:rPr>
          <w:sz w:val="28"/>
          <w:szCs w:val="28"/>
        </w:rPr>
      </w:pPr>
    </w:p>
    <w:p w14:paraId="051AF9A4" w14:textId="77777777" w:rsidR="00C94E70" w:rsidRDefault="00C94E70" w:rsidP="00834D01">
      <w:pPr>
        <w:pStyle w:val="a4"/>
        <w:spacing w:before="0" w:beforeAutospacing="0" w:after="0"/>
        <w:ind w:firstLine="709"/>
        <w:rPr>
          <w:sz w:val="28"/>
          <w:szCs w:val="28"/>
        </w:rPr>
      </w:pPr>
    </w:p>
    <w:p w14:paraId="76E7B109" w14:textId="77777777" w:rsidR="00834D01" w:rsidRPr="00A476D7" w:rsidRDefault="00834D01" w:rsidP="00834D01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Порт Невельск</w:t>
      </w:r>
    </w:p>
    <w:p w14:paraId="317FA9C5" w14:textId="77777777" w:rsidR="00834D01" w:rsidRDefault="00834D01" w:rsidP="00834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2"/>
        <w:gridCol w:w="2975"/>
        <w:gridCol w:w="2739"/>
        <w:gridCol w:w="1613"/>
      </w:tblGrid>
      <w:tr w:rsidR="00834D01" w14:paraId="7659A9EF" w14:textId="77777777" w:rsidTr="00B51216">
        <w:trPr>
          <w:trHeight w:val="307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C04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5.1 - Ставки загранплавания</w:t>
            </w:r>
          </w:p>
        </w:tc>
      </w:tr>
      <w:tr w:rsidR="00834D01" w14:paraId="463F2626" w14:textId="77777777" w:rsidTr="00B51216">
        <w:trPr>
          <w:trHeight w:val="395"/>
        </w:trPr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6C6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сбора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3AFE" w14:textId="77777777" w:rsidR="00834D01" w:rsidRPr="00827BEF" w:rsidRDefault="00834D01" w:rsidP="00B51216">
            <w:pPr>
              <w:pStyle w:val="a4"/>
              <w:spacing w:after="0"/>
              <w:jc w:val="center"/>
            </w:pPr>
            <w:r>
              <w:rPr>
                <w:sz w:val="28"/>
                <w:szCs w:val="28"/>
              </w:rPr>
              <w:t xml:space="preserve">Ставка, руб./1 GT 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</w:tr>
      <w:tr w:rsidR="00834D01" w14:paraId="642C1A25" w14:textId="77777777" w:rsidTr="00B51216">
        <w:trPr>
          <w:trHeight w:val="1683"/>
        </w:trPr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DA7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54E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суда, кроме накатных, наплавных, контейнеровозов и наливных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9211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накатные, наплавные суда и контейнеровозы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8320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наливные суда</w:t>
            </w:r>
          </w:p>
        </w:tc>
      </w:tr>
      <w:tr w:rsidR="00834D01" w14:paraId="5FA5A005" w14:textId="77777777" w:rsidTr="00B51216">
        <w:trPr>
          <w:trHeight w:val="614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EE23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Корабельный сбор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6F62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E50E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3DDA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7,38</w:t>
            </w:r>
          </w:p>
        </w:tc>
      </w:tr>
    </w:tbl>
    <w:p w14:paraId="6FF8D91F" w14:textId="77777777" w:rsidR="00834D01" w:rsidRDefault="00834D01" w:rsidP="0083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1"/>
        <w:gridCol w:w="2974"/>
        <w:gridCol w:w="2738"/>
        <w:gridCol w:w="1616"/>
      </w:tblGrid>
      <w:tr w:rsidR="00834D01" w14:paraId="190D1403" w14:textId="77777777" w:rsidTr="00B51216">
        <w:trPr>
          <w:trHeight w:val="292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7D63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5.2 - Ставки каботажного плавания</w:t>
            </w:r>
          </w:p>
        </w:tc>
      </w:tr>
      <w:tr w:rsidR="00834D01" w14:paraId="55859AA5" w14:textId="77777777" w:rsidTr="00B51216">
        <w:trPr>
          <w:trHeight w:val="375"/>
        </w:trPr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70C9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сбора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A39E" w14:textId="77777777" w:rsidR="00834D01" w:rsidRPr="00827BEF" w:rsidRDefault="00834D01" w:rsidP="00B51216">
            <w:pPr>
              <w:pStyle w:val="a4"/>
              <w:spacing w:after="0"/>
              <w:jc w:val="center"/>
            </w:pPr>
            <w:r>
              <w:rPr>
                <w:sz w:val="28"/>
                <w:szCs w:val="28"/>
              </w:rPr>
              <w:t xml:space="preserve">Ставка, руб./1 GT </w:t>
            </w:r>
            <w:r>
              <w:rPr>
                <w:color w:val="000000"/>
                <w:sz w:val="28"/>
                <w:szCs w:val="28"/>
              </w:rPr>
              <w:t>*</w:t>
            </w:r>
          </w:p>
        </w:tc>
      </w:tr>
      <w:tr w:rsidR="00834D01" w14:paraId="38518722" w14:textId="77777777" w:rsidTr="00B51216">
        <w:trPr>
          <w:trHeight w:val="1599"/>
        </w:trPr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9944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79B4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суда, кроме накатных, наплавных, контейнеровозов и наливных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CA7B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накатные, наплавные суда и контейнеровозы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98B1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наливные суда</w:t>
            </w:r>
          </w:p>
        </w:tc>
      </w:tr>
      <w:tr w:rsidR="00834D01" w14:paraId="466AEA92" w14:textId="77777777" w:rsidTr="00B51216">
        <w:trPr>
          <w:trHeight w:val="584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EC1C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Корабельный сбор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AFF6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3646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755" w14:textId="77777777" w:rsidR="00834D0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2,61</w:t>
            </w:r>
          </w:p>
        </w:tc>
      </w:tr>
    </w:tbl>
    <w:p w14:paraId="0EB5C0B4" w14:textId="77777777" w:rsidR="00834D01" w:rsidRDefault="00834D01" w:rsidP="00834D01">
      <w:pPr>
        <w:pStyle w:val="a4"/>
        <w:spacing w:before="0" w:beforeAutospacing="0" w:after="0"/>
        <w:ind w:firstLine="709"/>
        <w:rPr>
          <w:sz w:val="28"/>
          <w:szCs w:val="28"/>
        </w:rPr>
      </w:pPr>
      <w:r w:rsidRPr="00827BEF">
        <w:rPr>
          <w:sz w:val="28"/>
          <w:szCs w:val="28"/>
        </w:rPr>
        <w:t>* - GT - валовая вместимость судна (брутто-регистровый тоннаж).</w:t>
      </w:r>
    </w:p>
    <w:p w14:paraId="6DAE6ED0" w14:textId="77777777" w:rsidR="00C94E70" w:rsidRDefault="00C94E70" w:rsidP="004622DB">
      <w:pPr>
        <w:pStyle w:val="a4"/>
        <w:spacing w:before="0" w:beforeAutospacing="0" w:after="0"/>
        <w:rPr>
          <w:sz w:val="28"/>
          <w:szCs w:val="28"/>
        </w:rPr>
      </w:pPr>
    </w:p>
    <w:p w14:paraId="57DE0EF5" w14:textId="77777777" w:rsidR="004622DB" w:rsidRDefault="004622DB" w:rsidP="004622DB">
      <w:pPr>
        <w:pStyle w:val="a4"/>
        <w:spacing w:before="0" w:beforeAutospacing="0" w:after="0"/>
        <w:rPr>
          <w:sz w:val="28"/>
          <w:szCs w:val="28"/>
        </w:rPr>
      </w:pPr>
    </w:p>
    <w:p w14:paraId="7CF0AE55" w14:textId="77777777" w:rsidR="004622DB" w:rsidRDefault="004622DB" w:rsidP="004622DB">
      <w:pPr>
        <w:pStyle w:val="a4"/>
        <w:spacing w:before="0" w:beforeAutospacing="0" w:after="0"/>
        <w:rPr>
          <w:sz w:val="28"/>
          <w:szCs w:val="28"/>
        </w:rPr>
      </w:pPr>
    </w:p>
    <w:p w14:paraId="385CF135" w14:textId="77777777" w:rsidR="00834D01" w:rsidRDefault="00834D01" w:rsidP="00834D01">
      <w:pPr>
        <w:pStyle w:val="ConsPlusNormal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635E1">
        <w:rPr>
          <w:rFonts w:ascii="Times New Roman" w:hAnsi="Times New Roman" w:cs="Times New Roman"/>
          <w:b/>
          <w:sz w:val="28"/>
          <w:szCs w:val="28"/>
        </w:rPr>
        <w:t>. Порт Петропавловск-Камчатский</w:t>
      </w:r>
    </w:p>
    <w:p w14:paraId="609E61AF" w14:textId="77777777" w:rsidR="00834D01" w:rsidRDefault="00834D01" w:rsidP="00834D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2"/>
        <w:gridCol w:w="2357"/>
        <w:gridCol w:w="2963"/>
        <w:gridCol w:w="1559"/>
      </w:tblGrid>
      <w:tr w:rsidR="00834D01" w:rsidRPr="008635E1" w14:paraId="6E4E61B8" w14:textId="77777777" w:rsidTr="00CB71AF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1D6" w14:textId="77777777" w:rsidR="00834D01" w:rsidRPr="008635E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Таблица 6</w:t>
            </w:r>
            <w:r w:rsidRPr="008635E1">
              <w:rPr>
                <w:rFonts w:ascii="Times New Roman" w:hAnsi="Times New Roman" w:cs="Times New Roman"/>
                <w:bCs/>
                <w:sz w:val="28"/>
                <w:szCs w:val="28"/>
              </w:rPr>
              <w:t>.1 - Ставки загранплавания</w:t>
            </w:r>
          </w:p>
        </w:tc>
      </w:tr>
      <w:tr w:rsidR="00834D01" w:rsidRPr="008635E1" w14:paraId="4416973F" w14:textId="77777777" w:rsidTr="00CB71AF"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CE06" w14:textId="77777777" w:rsidR="00834D01" w:rsidRPr="008635E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5E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сбора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9186" w14:textId="77777777" w:rsidR="00834D01" w:rsidRPr="008635E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5E1">
              <w:rPr>
                <w:rFonts w:ascii="Times New Roman" w:hAnsi="Times New Roman" w:cs="Times New Roman"/>
                <w:bCs/>
                <w:sz w:val="28"/>
                <w:szCs w:val="28"/>
              </w:rPr>
              <w:t>Ставка, руб./1 GT</w:t>
            </w:r>
            <w:r w:rsidR="00C83B8B">
              <w:rPr>
                <w:color w:val="000000"/>
                <w:sz w:val="28"/>
                <w:szCs w:val="28"/>
              </w:rPr>
              <w:t>*</w:t>
            </w:r>
          </w:p>
        </w:tc>
      </w:tr>
      <w:tr w:rsidR="00834D01" w:rsidRPr="008635E1" w14:paraId="5B20B578" w14:textId="77777777" w:rsidTr="00CB71AF"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365C" w14:textId="77777777" w:rsidR="00834D01" w:rsidRPr="008635E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4589" w14:textId="77777777" w:rsidR="00834D01" w:rsidRPr="008635E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5E1">
              <w:rPr>
                <w:rFonts w:ascii="Times New Roman" w:hAnsi="Times New Roman" w:cs="Times New Roman"/>
                <w:bCs/>
                <w:sz w:val="28"/>
                <w:szCs w:val="28"/>
              </w:rPr>
              <w:t>все суда, кроме накатных, наплавных, контейнеровозов и наливных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51A5" w14:textId="77777777" w:rsidR="00834D01" w:rsidRPr="008635E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5E1">
              <w:rPr>
                <w:rFonts w:ascii="Times New Roman" w:hAnsi="Times New Roman" w:cs="Times New Roman"/>
                <w:bCs/>
                <w:sz w:val="28"/>
                <w:szCs w:val="28"/>
              </w:rPr>
              <w:t>накатные, наплавные суда и контейнеровозы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D540" w14:textId="77777777" w:rsidR="00834D01" w:rsidRPr="008635E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5E1">
              <w:rPr>
                <w:rFonts w:ascii="Times New Roman" w:hAnsi="Times New Roman" w:cs="Times New Roman"/>
                <w:bCs/>
                <w:sz w:val="28"/>
                <w:szCs w:val="28"/>
              </w:rPr>
              <w:t>наливные суда</w:t>
            </w:r>
          </w:p>
        </w:tc>
      </w:tr>
      <w:tr w:rsidR="00834D01" w:rsidRPr="008635E1" w14:paraId="004F7CCD" w14:textId="77777777" w:rsidTr="00CB71AF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966E" w14:textId="77777777" w:rsidR="00834D01" w:rsidRPr="008635E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5E1">
              <w:rPr>
                <w:rFonts w:ascii="Times New Roman" w:hAnsi="Times New Roman" w:cs="Times New Roman"/>
                <w:bCs/>
                <w:sz w:val="28"/>
                <w:szCs w:val="28"/>
              </w:rPr>
              <w:t>Корабельный сбор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B887" w14:textId="77777777" w:rsidR="00834D01" w:rsidRPr="008635E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12,97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E038" w14:textId="77777777" w:rsidR="00834D01" w:rsidRPr="008635E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8635E1">
              <w:rPr>
                <w:rFonts w:ascii="Times New Roman" w:hAnsi="Times New Roman" w:cs="Times New Roman"/>
                <w:bCs/>
                <w:sz w:val="28"/>
                <w:szCs w:val="28"/>
              </w:rPr>
              <w:t>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A1A1" w14:textId="77777777" w:rsidR="00834D01" w:rsidRPr="008635E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5E1">
              <w:rPr>
                <w:rFonts w:ascii="Times New Roman" w:hAnsi="Times New Roman" w:cs="Times New Roman"/>
                <w:bCs/>
                <w:sz w:val="28"/>
                <w:szCs w:val="28"/>
              </w:rPr>
              <w:t>12,70</w:t>
            </w:r>
          </w:p>
        </w:tc>
      </w:tr>
    </w:tbl>
    <w:p w14:paraId="047379C0" w14:textId="77777777" w:rsidR="00834D01" w:rsidRPr="008635E1" w:rsidRDefault="00834D01" w:rsidP="00834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2"/>
        <w:gridCol w:w="2357"/>
        <w:gridCol w:w="2395"/>
        <w:gridCol w:w="1587"/>
      </w:tblGrid>
      <w:tr w:rsidR="00834D01" w:rsidRPr="008635E1" w14:paraId="27F31D6B" w14:textId="77777777" w:rsidTr="00B51216"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73D8" w14:textId="77777777" w:rsidR="00834D01" w:rsidRPr="008635E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Таблица 6</w:t>
            </w:r>
            <w:r w:rsidRPr="008635E1">
              <w:rPr>
                <w:rFonts w:ascii="Times New Roman" w:hAnsi="Times New Roman" w:cs="Times New Roman"/>
                <w:bCs/>
                <w:sz w:val="28"/>
                <w:szCs w:val="28"/>
              </w:rPr>
              <w:t>.2 - Ставки каботажного плавания</w:t>
            </w:r>
          </w:p>
        </w:tc>
      </w:tr>
      <w:tr w:rsidR="00834D01" w:rsidRPr="008635E1" w14:paraId="3CF560F2" w14:textId="77777777" w:rsidTr="00B51216"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4D71" w14:textId="77777777" w:rsidR="00834D01" w:rsidRPr="008635E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5E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сбора</w:t>
            </w:r>
          </w:p>
        </w:tc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AB0A" w14:textId="77777777" w:rsidR="00834D01" w:rsidRPr="008635E1" w:rsidRDefault="00834D01" w:rsidP="00C83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5E1">
              <w:rPr>
                <w:rFonts w:ascii="Times New Roman" w:hAnsi="Times New Roman" w:cs="Times New Roman"/>
                <w:bCs/>
                <w:sz w:val="28"/>
                <w:szCs w:val="28"/>
              </w:rPr>
              <w:t>Ставка, руб./1 GT</w:t>
            </w:r>
            <w:r w:rsidR="00C83B8B">
              <w:rPr>
                <w:color w:val="000000"/>
                <w:sz w:val="28"/>
                <w:szCs w:val="28"/>
              </w:rPr>
              <w:t>*</w:t>
            </w:r>
          </w:p>
        </w:tc>
      </w:tr>
      <w:tr w:rsidR="00834D01" w:rsidRPr="008635E1" w14:paraId="5EE54866" w14:textId="77777777" w:rsidTr="00B51216"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F43D" w14:textId="77777777" w:rsidR="00834D01" w:rsidRPr="008635E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9735" w14:textId="77777777" w:rsidR="00834D01" w:rsidRPr="008635E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5E1">
              <w:rPr>
                <w:rFonts w:ascii="Times New Roman" w:hAnsi="Times New Roman" w:cs="Times New Roman"/>
                <w:bCs/>
                <w:sz w:val="28"/>
                <w:szCs w:val="28"/>
              </w:rPr>
              <w:t>все суда, кроме накатных, наплавных, контейнеровозов и наливных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E4C" w14:textId="77777777" w:rsidR="00834D01" w:rsidRPr="008635E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5E1">
              <w:rPr>
                <w:rFonts w:ascii="Times New Roman" w:hAnsi="Times New Roman" w:cs="Times New Roman"/>
                <w:bCs/>
                <w:sz w:val="28"/>
                <w:szCs w:val="28"/>
              </w:rPr>
              <w:t>накатные, наплавные суда и контейнеровозы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2E9F" w14:textId="77777777" w:rsidR="00834D01" w:rsidRPr="008635E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5E1">
              <w:rPr>
                <w:rFonts w:ascii="Times New Roman" w:hAnsi="Times New Roman" w:cs="Times New Roman"/>
                <w:bCs/>
                <w:sz w:val="28"/>
                <w:szCs w:val="28"/>
              </w:rPr>
              <w:t>наливные суда</w:t>
            </w:r>
          </w:p>
        </w:tc>
      </w:tr>
      <w:tr w:rsidR="00834D01" w:rsidRPr="008635E1" w14:paraId="50896389" w14:textId="77777777" w:rsidTr="00B51216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6B91" w14:textId="77777777" w:rsidR="00834D01" w:rsidRPr="008635E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5E1">
              <w:rPr>
                <w:rFonts w:ascii="Times New Roman" w:hAnsi="Times New Roman" w:cs="Times New Roman"/>
                <w:bCs/>
                <w:sz w:val="28"/>
                <w:szCs w:val="28"/>
              </w:rPr>
              <w:t>Корабельный сбор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4C7B" w14:textId="77777777" w:rsidR="00834D01" w:rsidRPr="008635E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5,78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C402" w14:textId="77777777" w:rsidR="00834D01" w:rsidRPr="008635E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327B" w14:textId="77777777" w:rsidR="00834D01" w:rsidRPr="008635E1" w:rsidRDefault="00834D01" w:rsidP="00B51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6,3</w:t>
            </w:r>
            <w:r w:rsidRPr="008635E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</w:tbl>
    <w:p w14:paraId="41BC6A38" w14:textId="77777777" w:rsidR="00C83B8B" w:rsidRDefault="00C83B8B" w:rsidP="00C83B8B">
      <w:pPr>
        <w:pStyle w:val="a4"/>
        <w:spacing w:before="0" w:beforeAutospacing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* - GT - валовая вместимость судна (брутто-регистровый тоннаж).</w:t>
      </w:r>
    </w:p>
    <w:p w14:paraId="7443ABF3" w14:textId="77777777" w:rsidR="00834D01" w:rsidRDefault="00834D01" w:rsidP="00834D01">
      <w:pPr>
        <w:pStyle w:val="a4"/>
        <w:spacing w:before="0" w:beforeAutospacing="0" w:after="0"/>
        <w:ind w:firstLine="709"/>
        <w:rPr>
          <w:sz w:val="28"/>
          <w:szCs w:val="28"/>
        </w:rPr>
      </w:pPr>
    </w:p>
    <w:p w14:paraId="63287FAA" w14:textId="77777777" w:rsidR="00834D01" w:rsidRPr="00757FA5" w:rsidRDefault="00834D01" w:rsidP="00834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B6764D" w14:textId="77777777" w:rsidR="00834D01" w:rsidRDefault="00834D01" w:rsidP="00834D01">
      <w:pPr>
        <w:pStyle w:val="a4"/>
        <w:spacing w:before="0" w:beforeAutospacing="0" w:after="0"/>
        <w:rPr>
          <w:sz w:val="28"/>
          <w:szCs w:val="28"/>
        </w:rPr>
      </w:pPr>
    </w:p>
    <w:sectPr w:rsidR="00834D01" w:rsidSect="00F25B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84E"/>
    <w:multiLevelType w:val="hybridMultilevel"/>
    <w:tmpl w:val="9710AA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518B6"/>
    <w:multiLevelType w:val="hybridMultilevel"/>
    <w:tmpl w:val="5E2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34614"/>
    <w:multiLevelType w:val="hybridMultilevel"/>
    <w:tmpl w:val="5994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170AD"/>
    <w:multiLevelType w:val="hybridMultilevel"/>
    <w:tmpl w:val="F592A736"/>
    <w:lvl w:ilvl="0" w:tplc="5AD650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026880">
    <w:abstractNumId w:val="1"/>
  </w:num>
  <w:num w:numId="2" w16cid:durableId="681471179">
    <w:abstractNumId w:val="3"/>
  </w:num>
  <w:num w:numId="3" w16cid:durableId="1167289398">
    <w:abstractNumId w:val="2"/>
  </w:num>
  <w:num w:numId="4" w16cid:durableId="97264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38"/>
    <w:rsid w:val="00033D02"/>
    <w:rsid w:val="00040569"/>
    <w:rsid w:val="00136549"/>
    <w:rsid w:val="00136717"/>
    <w:rsid w:val="00167B25"/>
    <w:rsid w:val="00176762"/>
    <w:rsid w:val="001F306F"/>
    <w:rsid w:val="00224C3B"/>
    <w:rsid w:val="0025725A"/>
    <w:rsid w:val="003113C1"/>
    <w:rsid w:val="00355645"/>
    <w:rsid w:val="00392DD9"/>
    <w:rsid w:val="003B5B9A"/>
    <w:rsid w:val="003F391C"/>
    <w:rsid w:val="004316BA"/>
    <w:rsid w:val="004622DB"/>
    <w:rsid w:val="004E76AA"/>
    <w:rsid w:val="004F606F"/>
    <w:rsid w:val="005F1A27"/>
    <w:rsid w:val="006B4DEF"/>
    <w:rsid w:val="006F3DF4"/>
    <w:rsid w:val="00757FA5"/>
    <w:rsid w:val="007F4D41"/>
    <w:rsid w:val="007F66F0"/>
    <w:rsid w:val="00827BEF"/>
    <w:rsid w:val="0083313F"/>
    <w:rsid w:val="00834D01"/>
    <w:rsid w:val="008635E1"/>
    <w:rsid w:val="00876789"/>
    <w:rsid w:val="008E5868"/>
    <w:rsid w:val="00900BCF"/>
    <w:rsid w:val="0090334A"/>
    <w:rsid w:val="00946EF6"/>
    <w:rsid w:val="00953DCE"/>
    <w:rsid w:val="00A33CE7"/>
    <w:rsid w:val="00A476D7"/>
    <w:rsid w:val="00A50339"/>
    <w:rsid w:val="00A62FE5"/>
    <w:rsid w:val="00AE1D7D"/>
    <w:rsid w:val="00C83B8B"/>
    <w:rsid w:val="00C94E70"/>
    <w:rsid w:val="00CB71AF"/>
    <w:rsid w:val="00D0066C"/>
    <w:rsid w:val="00D04142"/>
    <w:rsid w:val="00D07171"/>
    <w:rsid w:val="00D15113"/>
    <w:rsid w:val="00D928F2"/>
    <w:rsid w:val="00DF53EE"/>
    <w:rsid w:val="00F000A5"/>
    <w:rsid w:val="00F25B38"/>
    <w:rsid w:val="00F86E48"/>
    <w:rsid w:val="00F92E55"/>
    <w:rsid w:val="00F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F870"/>
  <w15:chartTrackingRefBased/>
  <w15:docId w15:val="{F3CD6537-4F60-4232-BF54-E5A7BD0E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B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List Paragraph"/>
    <w:basedOn w:val="a"/>
    <w:uiPriority w:val="34"/>
    <w:qFormat/>
    <w:rsid w:val="001F30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67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2F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11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5725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B28173482F37CEC98FFFF7982F933003CF513F94D44A1A3B232E0DDA83726A723DF3386506349F95AB3E7DBBB27578D779A13FBB2D01B063G7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47F22-335B-4871-8106-0B625ACB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Беспалова</dc:creator>
  <cp:keywords/>
  <dc:description/>
  <cp:lastModifiedBy>Екатерина Сомова</cp:lastModifiedBy>
  <cp:revision>2</cp:revision>
  <cp:lastPrinted>2022-12-21T09:06:00Z</cp:lastPrinted>
  <dcterms:created xsi:type="dcterms:W3CDTF">2023-01-27T18:33:00Z</dcterms:created>
  <dcterms:modified xsi:type="dcterms:W3CDTF">2023-01-27T18:33:00Z</dcterms:modified>
</cp:coreProperties>
</file>